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ZAMÓWIENIA</w:t>
      </w:r>
    </w:p>
    <w:p w:rsid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przetargu na najem baru wraz z wyposażeniem </w:t>
      </w:r>
    </w:p>
    <w:p w:rsid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SPZZOZ w Przasnyszu ul. Sadowej 9.</w:t>
      </w:r>
    </w:p>
    <w:p w:rsidR="00E7510C" w:rsidRPr="000D5667" w:rsidRDefault="00E7510C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Zasady przeprowadzania przetargu zawarte są w Uchwale Nr XIII/127/2011 Rady Powiatu Przasnyskiego z dnia 15 grudnia 2011 r. w sprawie określenia zasad zbywania, oddawania w dzierżawę, najem, 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ytkowanie oraz użyczenie aktywów trwałych Samodzielnego Publicznego Zespołu Zakładów Opieki Zdrowotnej w Przasnyszu.</w:t>
      </w:r>
    </w:p>
    <w:p w:rsidR="00E7510C" w:rsidRDefault="00E7510C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7B4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</w:t>
      </w:r>
    </w:p>
    <w:p w:rsid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06-300 Przasnysz ul. Sadowa 9 </w:t>
      </w:r>
      <w:proofErr w:type="spellStart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/fax 0-29/ 75 34 318/380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 do kontaktów z oferentami :</w:t>
      </w: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Leszek </w:t>
      </w:r>
      <w:proofErr w:type="spellStart"/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Szołoch</w:t>
      </w:r>
      <w:proofErr w:type="spellEnd"/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pokój Z123 (I piętro- Administracja) tel. (0-29) 75 34 405 </w:t>
      </w: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Marianna Ulatowska pokój Z123 (I – piętro – Administracja) tel. (029) 75 34 310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7B4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:rsidR="000D5667" w:rsidRPr="000D5667" w:rsidRDefault="000D5667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pomieszczeń baru zlokalizowanego w parterze bloku E Szpitala Rejonowego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Sadowej 9 na cele prowadzenia działalności w okresie</w:t>
      </w:r>
      <w:r w:rsidR="00BA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lat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Przewidywany termin rozpoczęcia wynajmu 01.1</w:t>
      </w:r>
      <w:r w:rsidR="00BA4B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Opis Baru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użytkowa –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82,60 m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sala konsumpcyjna - 51,0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bufet - 9,8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przedsionek - 2,6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magazyn - 4,5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zmywalnia - 6,4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magazyn - 5,3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WC personelu - 3,0 m2</w:t>
      </w:r>
    </w:p>
    <w:p w:rsid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Bufet jest zabezpieczony żaluzjami antywłamaniowymi.</w:t>
      </w:r>
    </w:p>
    <w:p w:rsidR="004E4334" w:rsidRPr="000D5667" w:rsidRDefault="004E4334" w:rsidP="004E43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określa następujący zakres działalności:</w:t>
      </w:r>
    </w:p>
    <w:p w:rsidR="004E4334" w:rsidRPr="000D5667" w:rsidRDefault="004E4334" w:rsidP="004E4334">
      <w:pPr>
        <w:numPr>
          <w:ilvl w:val="0"/>
          <w:numId w:val="1"/>
        </w:numPr>
        <w:tabs>
          <w:tab w:val="clear" w:pos="720"/>
          <w:tab w:val="num" w:pos="854"/>
        </w:tabs>
        <w:spacing w:before="100" w:beforeAutospacing="1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(za wyjątkiem napojów alkoholowych i artykułów tytoniowych )</w:t>
      </w:r>
    </w:p>
    <w:p w:rsidR="004E4334" w:rsidRPr="000D5667" w:rsidRDefault="004E4334" w:rsidP="004E4334">
      <w:pPr>
        <w:numPr>
          <w:ilvl w:val="0"/>
          <w:numId w:val="1"/>
        </w:numPr>
        <w:tabs>
          <w:tab w:val="clear" w:pos="720"/>
          <w:tab w:val="num" w:pos="1452"/>
        </w:tabs>
        <w:spacing w:before="100" w:beforeAutospacing="1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cukiernicze, garmażeryjne, dania gorące.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przekaże Najemcy następujące wyposażenie </w:t>
      </w:r>
      <w:r w:rsidR="00766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baru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: WYPOSAŻENIE ZGODNIE Z ZAŁĄCZNIKIEM NR 1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wzoru umowy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1B20" w:rsidRDefault="00E93E6B" w:rsidP="00E93E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BA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91B20" w:rsidRP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</w:t>
      </w:r>
      <w:r w:rsidR="0048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względzie 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zamontowane wyposażenie</w:t>
      </w:r>
      <w:r w:rsidR="0048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baru 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zużywające do swojego funkcjonowania energię elektryczną, jak również że możliwe jest zamont</w:t>
      </w:r>
      <w:r w:rsidR="00766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dodatkowego sprzęt 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urządzeniami, które są </w:t>
      </w:r>
      <w:r w:rsidR="0048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własnością 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E7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 </w:t>
      </w:r>
      <w:r w:rsidR="004E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zużycie energii elektrycznej.</w:t>
      </w:r>
    </w:p>
    <w:p w:rsidR="00E93E6B" w:rsidRDefault="00E93E6B" w:rsidP="00E93E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Ryczałt zostanie ustalony w oparciu o średnie zużycie energii elektrycznej zamontowanych urządzeń pracujących w sposób ciągły (np. chłodnie, zamrażarki, itp.).</w:t>
      </w:r>
    </w:p>
    <w:p w:rsidR="00E93E6B" w:rsidRDefault="00E93E6B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Pobór energii elektrycznej  zostanie ustalony</w:t>
      </w:r>
      <w:r w:rsidR="0048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 sposób:</w:t>
      </w:r>
    </w:p>
    <w:p w:rsidR="00E93E6B" w:rsidRDefault="00E93E6B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853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sprzętu pracującego w sposób ciągły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 np. chłodnie, zamrażarki, itp.) na podstawie instrukcji sprzętu lub instrukcji o podobnej wielkości i zastosowaniu.</w:t>
      </w:r>
    </w:p>
    <w:p w:rsidR="00E93E6B" w:rsidRDefault="00E93E6B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853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dla </w:t>
      </w:r>
      <w:r w:rsidR="0048532A" w:rsidRPr="004853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sprzętu pracującego w czasie funkcjonowania baru </w:t>
      </w:r>
      <w:r w:rsidR="0048532A">
        <w:rPr>
          <w:rFonts w:ascii="Times New Roman" w:eastAsia="Times New Roman" w:hAnsi="Times New Roman" w:cs="Times New Roman"/>
          <w:sz w:val="24"/>
          <w:szCs w:val="24"/>
          <w:lang w:eastAsia="pl-PL"/>
        </w:rPr>
        <w:t>(podgrzewacze, kuchnie mikrofalowe, czajniki, itp.) w oparciu o moc urządzenia oraz prognozowanego czasu jego użytkowania w ciągu doby.</w:t>
      </w:r>
    </w:p>
    <w:p w:rsidR="004E4334" w:rsidRDefault="004E4334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63" w:rsidRPr="00223863" w:rsidRDefault="00223863" w:rsidP="004E4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863">
        <w:rPr>
          <w:rFonts w:ascii="Times New Roman" w:hAnsi="Times New Roman" w:cs="Times New Roman"/>
          <w:sz w:val="24"/>
          <w:szCs w:val="24"/>
        </w:rPr>
        <w:t>Przewiduje się zawarcie aneksu przedłużającego termin obowiązywania  umowy. W sytuacji przedłużenia okresu obowiązywania umowy stawki czynszu będą waloryzowane o wskaźnik wzrostu cen towarów i usług konsumpcyjnych ogłoszony prze Prezesa Głównego Urzędu Statystycznego w Monitorze Polskim.</w:t>
      </w:r>
    </w:p>
    <w:p w:rsidR="000D5667" w:rsidRDefault="000D5667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w zakresie przedmiotu zamówienia można uzyskać w pok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123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 Administracja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510C" w:rsidRDefault="00E7510C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431475" w:rsidRDefault="000D5667" w:rsidP="007B4875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ofert</w:t>
      </w:r>
      <w:r w:rsidR="0043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31475" w:rsidRPr="00C21B02" w:rsidRDefault="00431475" w:rsidP="007B4875">
      <w:pPr>
        <w:pStyle w:val="Akapitzlist"/>
        <w:spacing w:before="100" w:beforeAutospacing="1"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431475" w:rsidRDefault="00431475" w:rsidP="007B487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4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minimalną cenę za najem  1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baru  - 74,00 zł netto</w:t>
      </w:r>
      <w:r w:rsidR="007D5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miesięcznie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D5667" w:rsidRPr="000D5667" w:rsidRDefault="000D5667" w:rsidP="007B4875">
      <w:pPr>
        <w:keepNext/>
        <w:spacing w:after="0" w:line="240" w:lineRule="auto"/>
        <w:ind w:left="30" w:hanging="6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złożyć w siedzibie Zamawiającego przy ul. Sadowej 9 w zamkniętej </w:t>
      </w:r>
      <w:r w:rsidR="00C21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opercie</w:t>
      </w:r>
      <w:r w:rsidR="00E7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na najem pomieszczeń baru z wyposażeniem 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Szpitalu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Rejonowym w Przasnyszu przy ul. Sadowej 9”. </w:t>
      </w:r>
    </w:p>
    <w:p w:rsidR="00E91B20" w:rsidRDefault="000D5667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podać łączną cenę netto i brutto za najem baru wraz z wyposażeniem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1 miesiąc. </w:t>
      </w:r>
    </w:p>
    <w:p w:rsidR="004E4334" w:rsidRPr="00E7510C" w:rsidRDefault="000D5667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51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oferty należy dołączyć </w:t>
      </w:r>
      <w:r w:rsidR="004E4334" w:rsidRPr="00E751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E4334" w:rsidRDefault="004E4334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kserokopię dokumentu o prowadzonej działalności gospodarczej (potwierdzoną za zgodność z oryginałem) </w:t>
      </w:r>
    </w:p>
    <w:p w:rsidR="000D5667" w:rsidRDefault="004E4334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wadium, które należy wpłacić w kwocie 350,00 zł do dnia 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10-tej na konto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PBS Ciechanów 13 8213 0008 2005 0700 8700</w:t>
      </w:r>
      <w:r w:rsidR="003F1F5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0004 z dopiskiem WADIUM lub w kasie SP ZZOZ</w:t>
      </w:r>
    </w:p>
    <w:p w:rsidR="004E4334" w:rsidRPr="004E4334" w:rsidRDefault="004E4334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E7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planowanego wstawienia do baru własnego wyposażenia należy załączyć: „</w:t>
      </w:r>
      <w:r w:rsidRPr="00E7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wyposażenie baru będącego własnością Najemcy</w:t>
      </w:r>
      <w:r w:rsidR="00E7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 który będzie stanowić załącznik nr 2 do umowy.</w:t>
      </w:r>
    </w:p>
    <w:p w:rsidR="000D5667" w:rsidRPr="000D5667" w:rsidRDefault="000D5667" w:rsidP="007B4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przetargu wskazane jest dokonanie wizji lokalnej pomieszczeń po wcześniejszym powiadomieniu SPZZOZ osobi</w:t>
      </w:r>
      <w:r w:rsidR="00C647B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cie lub drogą telefoniczną na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nr 29 75 34 310.</w:t>
      </w:r>
    </w:p>
    <w:p w:rsidR="000D5667" w:rsidRPr="00C21B02" w:rsidRDefault="000D5667" w:rsidP="007B4875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Wymagania dotyczące oferentów</w:t>
      </w:r>
    </w:p>
    <w:p w:rsidR="000D5667" w:rsidRPr="000D5667" w:rsidRDefault="000D5667" w:rsidP="007B487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działalności gastronomicznej</w:t>
      </w:r>
    </w:p>
    <w:p w:rsidR="000D5667" w:rsidRDefault="000D5667" w:rsidP="007B4875">
      <w:pPr>
        <w:numPr>
          <w:ilvl w:val="0"/>
          <w:numId w:val="4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wymagane przez Stację Sanitarno-Epidemiologiczną</w:t>
      </w:r>
      <w:r w:rsidR="00C21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przedłożyć odpowiednie dokumenty (kserokopie potwierdzone za zgodność oryginałem) na potwierdzenie powyższych wymagań.</w:t>
      </w:r>
    </w:p>
    <w:p w:rsidR="000D5667" w:rsidRPr="00C21B02" w:rsidRDefault="00E7510C" w:rsidP="007B4875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0D5667"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erminy</w:t>
      </w:r>
    </w:p>
    <w:p w:rsidR="000D5667" w:rsidRPr="007B4875" w:rsidRDefault="000D5667" w:rsidP="007B4875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Składanie ofert do dnia </w:t>
      </w:r>
      <w:r w:rsidR="00E91B20"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91B20"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E406CA"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godz. 10.00 - Sekretariat SPZZOZ</w:t>
      </w:r>
      <w:r w:rsidR="001F479A"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Przasnyszu </w:t>
      </w: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ul. Sadowej 9</w:t>
      </w:r>
    </w:p>
    <w:p w:rsidR="000D5667" w:rsidRPr="00C21B02" w:rsidRDefault="000D5667" w:rsidP="007B4875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  <w:r w:rsidR="00361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D5667" w:rsidRPr="000D5667" w:rsidRDefault="000D5667" w:rsidP="007B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cena najmu ogółem.</w:t>
      </w:r>
    </w:p>
    <w:p w:rsidR="000D5667" w:rsidRPr="000D5667" w:rsidRDefault="00C21B02" w:rsidP="007B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 </w:t>
      </w:r>
      <w:r w:rsidR="000D5667"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Formalności po zakończeniu przetargu</w:t>
      </w:r>
    </w:p>
    <w:p w:rsidR="000D5667" w:rsidRPr="000D5667" w:rsidRDefault="007B4875" w:rsidP="00E7510C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zostaną powiadomieni o wynikach przetargu, a wybrany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zostanie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zaproszony do podpisania umowy .</w:t>
      </w:r>
    </w:p>
    <w:p w:rsidR="000D5667" w:rsidRPr="000D5667" w:rsidRDefault="000D5667" w:rsidP="007B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: druk oferty</w:t>
      </w:r>
      <w:r w:rsidR="004E43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 wraz z załącznikiem nr 1 do umowy – wykaz wyposażenia baru będącego własnością Wynajmującego.  </w:t>
      </w:r>
    </w:p>
    <w:p w:rsidR="000D5667" w:rsidRDefault="000D5667" w:rsidP="007B4875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SPZZOZ zastrzega sobie prawo unieważnienia przetargu bez podania przyczyny.</w:t>
      </w:r>
    </w:p>
    <w:p w:rsidR="007B4875" w:rsidRDefault="007B4875" w:rsidP="007B4875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</w:p>
    <w:p w:rsidR="007B4875" w:rsidRPr="000D5667" w:rsidRDefault="007B4875" w:rsidP="007B4875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D5667" w:rsidRPr="000D5667" w:rsidRDefault="000D5667" w:rsidP="007B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Przasnysz, dn.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>28.09.201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Zatwierdzam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</w:t>
      </w:r>
    </w:p>
    <w:p w:rsidR="0036163C" w:rsidRDefault="0036163C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75" w:rsidRDefault="007B4875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 dnia .......................201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D5667" w:rsidRPr="000D5667" w:rsidRDefault="000D5667" w:rsidP="007B487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0D5667" w:rsidRPr="000D5667" w:rsidRDefault="000D5667" w:rsidP="007B487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lub nazwa oferenta)</w:t>
      </w:r>
    </w:p>
    <w:p w:rsidR="0036163C" w:rsidRDefault="000D5667" w:rsidP="0036163C">
      <w:pPr>
        <w:spacing w:after="0" w:line="240" w:lineRule="auto"/>
        <w:ind w:left="4247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Samodzielny Publiczny Zespół Zakładów Opieki Zdrowotnej </w:t>
      </w:r>
    </w:p>
    <w:p w:rsidR="000D5667" w:rsidRPr="000D5667" w:rsidRDefault="000D5667" w:rsidP="0036163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ul. Sadowa 9, 06-300 Przasnysz</w:t>
      </w:r>
    </w:p>
    <w:p w:rsidR="000D5667" w:rsidRPr="000D5667" w:rsidRDefault="000D5667" w:rsidP="000D5667">
      <w:pPr>
        <w:spacing w:before="100" w:beforeAutospacing="1" w:after="119" w:line="240" w:lineRule="auto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 F E R T A</w:t>
      </w:r>
    </w:p>
    <w:p w:rsidR="00766809" w:rsidRDefault="00766809" w:rsidP="00C21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766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na najem pomieszczenia BARU w Szpitalu Rejonowym w Przasnyszu.</w:t>
      </w:r>
    </w:p>
    <w:p w:rsidR="000D5667" w:rsidRPr="000D5667" w:rsidRDefault="000D5667" w:rsidP="000D5667">
      <w:pPr>
        <w:spacing w:before="100" w:beforeAutospacing="1" w:after="119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u j e m y</w:t>
      </w:r>
    </w:p>
    <w:p w:rsidR="000D5667" w:rsidRPr="000D5667" w:rsidRDefault="000D5667" w:rsidP="000D5667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pomieszczeń BARU na następujących warunkach:</w:t>
      </w:r>
    </w:p>
    <w:p w:rsidR="000D5667" w:rsidRPr="000D5667" w:rsidRDefault="000D5667" w:rsidP="000D5667">
      <w:pPr>
        <w:numPr>
          <w:ilvl w:val="0"/>
          <w:numId w:val="7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ofertowa: za 1 miesiąc ......................... zł netto</w:t>
      </w:r>
    </w:p>
    <w:p w:rsidR="000D5667" w:rsidRPr="000D5667" w:rsidRDefault="000D5667" w:rsidP="00C21B02">
      <w:pPr>
        <w:spacing w:before="100" w:beforeAutospacing="1" w:after="119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zł brutto</w:t>
      </w:r>
    </w:p>
    <w:p w:rsidR="000D5667" w:rsidRPr="000D5667" w:rsidRDefault="000D5667" w:rsidP="000D5667">
      <w:pPr>
        <w:numPr>
          <w:ilvl w:val="0"/>
          <w:numId w:val="8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zamówienia i akceptujemy ich treść.</w:t>
      </w:r>
    </w:p>
    <w:p w:rsidR="000D5667" w:rsidRPr="000D5667" w:rsidRDefault="000D5667" w:rsidP="00D24BD2">
      <w:pPr>
        <w:numPr>
          <w:ilvl w:val="0"/>
          <w:numId w:val="8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 przypadku wyboru naszej oferty do zawarcia umowy  </w:t>
      </w:r>
      <w:r w:rsidR="00D2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D24BD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667" w:rsidRPr="000D5667" w:rsidRDefault="000D5667" w:rsidP="000D5667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0D5667" w:rsidRDefault="000D5667" w:rsidP="00766809">
      <w:pPr>
        <w:numPr>
          <w:ilvl w:val="0"/>
          <w:numId w:val="9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766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załącznikiem nr 1 - Wykaz wyposażenia  baru będącego własnością Wynajmującego.</w:t>
      </w:r>
    </w:p>
    <w:p w:rsidR="00766809" w:rsidRPr="000D5667" w:rsidRDefault="00766809" w:rsidP="00766809">
      <w:pPr>
        <w:numPr>
          <w:ilvl w:val="0"/>
          <w:numId w:val="9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Ewentualnie – Załącznik nr 2 - Wykaz wyposażenia baru będącego własnością Najemcy.</w:t>
      </w:r>
    </w:p>
    <w:p w:rsidR="000D5667" w:rsidRPr="000D5667" w:rsidRDefault="000D5667" w:rsidP="00C21B02">
      <w:pPr>
        <w:spacing w:before="100" w:beforeAutospacing="1" w:after="119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0D5667" w:rsidRPr="000D5667" w:rsidRDefault="000D5667" w:rsidP="00C21B02">
      <w:pPr>
        <w:spacing w:before="100" w:beforeAutospacing="1" w:after="119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is i pieczęć osoby uprawnionej)</w:t>
      </w: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UMOWA Nr / 201</w:t>
      </w:r>
      <w:r w:rsidR="00E406C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</w:t>
      </w: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(wzór)</w:t>
      </w:r>
    </w:p>
    <w:p w:rsidR="00022126" w:rsidRDefault="00022126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 r. w Przasnyszu pomiędzy: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Samodzielnym Publicznym Zespołem Zakładów Opieki Zdrowotnej w Przasnyszu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Sadowa 9, 06-300 Przasnysz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Lek. med. Jerzy Sadowski – Dyrektor SPZZOZ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Wynajmującym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Najemcą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76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wyboru oferty w przetargu na najem baru w Szpitalu Rejonowym w Przasnyszu została zawarta umowa o następującej treści:</w:t>
      </w:r>
    </w:p>
    <w:p w:rsidR="000D5667" w:rsidRPr="000D5667" w:rsidRDefault="000D5667" w:rsidP="0076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76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użytkownikiem budynku położonego przy ul. Sadowej 9 </w:t>
      </w:r>
      <w:r w:rsidR="00766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 i na mocy niniejszej umowy oddaje do najmu, a Najemca przejmuje pomieszczenia baru o powierzchni 82,60 m</w:t>
      </w:r>
      <w:r w:rsidRPr="000D56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 się na parterze bloku E Szpitala </w:t>
      </w:r>
      <w:r w:rsidR="00766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</w:t>
      </w:r>
      <w:r w:rsidR="00766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dr W. Oczko.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zostaje zawarta na okres od dnia</w:t>
      </w:r>
      <w:r w:rsidR="00C8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01.11.2015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85EA2">
        <w:rPr>
          <w:rFonts w:ascii="Times New Roman" w:eastAsia="Times New Roman" w:hAnsi="Times New Roman" w:cs="Times New Roman"/>
          <w:sz w:val="24"/>
          <w:szCs w:val="24"/>
          <w:lang w:eastAsia="pl-PL"/>
        </w:rPr>
        <w:t>31.10.201</w:t>
      </w:r>
      <w:r w:rsidR="008F4E2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8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Przewiduje się zawarcie aneksu przedłużającego termin obowiązywania  umowy.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1. Koszt najmu baru o powierzchni 82,60 m</w:t>
      </w:r>
      <w:r w:rsidRPr="000D56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 postaci czynszu miesięcznego w wysokości ......................... zł netto + Podatek Vat =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zł brutto (słownie: .........................................................................................)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B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sytuacji zastosowania w umowie zapisów pkt. 2 w § 2 stawki czynszu za wynajem pomieszczenia będą waloryzowane o wskaźnik wzrostu cen towarów i usług konsumpcyjnych ogłoszony przez Prezesa Głównego Urzędu Statystycznego w Monitorze Polskim. </w:t>
      </w:r>
    </w:p>
    <w:p w:rsidR="009110A2" w:rsidRDefault="009110A2" w:rsidP="00B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B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najem będzie płatny z góry na podstawie faktury VAT wystawionej przez Wynajmującego.</w:t>
      </w:r>
    </w:p>
    <w:p w:rsidR="009110A2" w:rsidRPr="000D5667" w:rsidRDefault="009110A2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21 dni od daty wystawienia faktury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0A2" w:rsidRDefault="009110A2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0A2" w:rsidRDefault="009110A2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0D5667" w:rsidRDefault="000D5667" w:rsidP="00B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czynszu wykazanego w § 3 umowy Wynajmujący zapewnia Najemcy: centralne ogrzewanie, wodę zimną i ciepłą, odprowadzenie ścieków, wywóz nieczystości stałych.</w:t>
      </w:r>
    </w:p>
    <w:p w:rsidR="0073793A" w:rsidRDefault="00C85EA2" w:rsidP="007379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3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energię elektryczną 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ustalony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 ryczałt 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średnie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7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3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ciągły (np. chłodnie, zamrażarki, itp.).</w:t>
      </w:r>
    </w:p>
    <w:p w:rsidR="0073793A" w:rsidRDefault="0073793A" w:rsidP="007379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Pobór energii elektrycznej  zostanie ustalony w następujący sposób:</w:t>
      </w:r>
    </w:p>
    <w:p w:rsidR="0073793A" w:rsidRDefault="0073793A" w:rsidP="007379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853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sprzętu pracującego w sposób ciągły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 np. chłodnie, zamrażarki, itp.) na podstawie instrukcji sprzętu lub instrukcji o podobnej wielkości i zastosowaniu.</w:t>
      </w:r>
    </w:p>
    <w:p w:rsidR="0073793A" w:rsidRDefault="0073793A" w:rsidP="007379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853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dla sprzętu pracującego w czasie funkcjonowania baru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(podgrzewacze, kuchnie mikrofalowe, czajniki, itp.) w oparciu o moc urządzenia oraz prognozowanego czasu jego użytkowania w ciągu doby.</w:t>
      </w:r>
    </w:p>
    <w:p w:rsidR="0073793A" w:rsidRPr="000D5667" w:rsidRDefault="0073793A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zapewnia Najemcy całodobowy swobodny dostęp do wynajmowanych pomieszczeń.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używania pomieszczeń zgodnie z ich przeznaczeniem 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 i świąteczne w godzinach od ............... do .................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ogranicza się tylko do pomieszczenia. Wykorzystywanie powierzchni korytarza będzie podstawą do natychmiastowego rozwiązania Umowy z winy Najemcy. 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następujący asortyment sprzedaży - artykuły spożywcze, wyroby cukiernicze, słodycze, napoje ( za wyjątkiem napojów alkoholowych i wyrobów tytoniowych ), wyroby garmażeryjne, dania gorące.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 naprawiania szkód powstałych z jego winy i utrzymania pomieszczeń w należytej czystości i stanie technicznym.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przekaże Najemcy na czas użytkowania baru </w:t>
      </w:r>
      <w:r w:rsidR="00431D5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wyszczególnione</w:t>
      </w:r>
      <w:r w:rsidR="0043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3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43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nr 1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bez zgody pisemnej Wynajmującego podnajmować pomieszczeń osobom trzecim.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0D5667" w:rsidRPr="000D5667" w:rsidRDefault="000D5667" w:rsidP="0036163C">
      <w:pPr>
        <w:numPr>
          <w:ilvl w:val="0"/>
          <w:numId w:val="10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do wypowiedzenia umowy w przypadku gdy Najemca nie przestrzega jej postanowień. Okres wypowiedzenia wynosi jeden miesiąc ze skutkiem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następnego miesiąca kalendarzowego.</w:t>
      </w:r>
    </w:p>
    <w:p w:rsidR="000D5667" w:rsidRPr="000D5667" w:rsidRDefault="000D5667" w:rsidP="0036163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 wcześniejszego rozwiązania umowy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 trzymiesięcznym okresem wypowiedzenia.</w:t>
      </w:r>
    </w:p>
    <w:p w:rsidR="000D5667" w:rsidRPr="000D5667" w:rsidRDefault="000D5667" w:rsidP="003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nieuregulowanych niniejszą umową mają zastosowanie przepisy kodeksu cywilnego.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pod rygorem nieważności wymagają formy pisemnej w postaci aneksu.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 po jednym dla każdej 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0D5667" w:rsidRDefault="00BB33B5" w:rsidP="00431D5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431D56" w:rsidRDefault="00BB33B5" w:rsidP="00431D5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</w:t>
      </w:r>
      <w:r w:rsidR="00431D56" w:rsidRPr="00431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Pr="00431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cznik nr 1</w:t>
      </w:r>
      <w:r w:rsidR="00431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B33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sażenia baru będą</w:t>
      </w:r>
      <w:r w:rsidR="00431D56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własnością Wynajmującego.</w:t>
      </w:r>
    </w:p>
    <w:p w:rsidR="00431D56" w:rsidRDefault="00D24BD2" w:rsidP="00431D5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 -  </w:t>
      </w:r>
      <w:r w:rsidR="00431D56" w:rsidRPr="00431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  <w:r w:rsidR="0043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Wykaz wyposażenia baru będącego własnością Najemcy.</w:t>
      </w:r>
    </w:p>
    <w:p w:rsidR="00431D56" w:rsidRDefault="00431D56" w:rsidP="00BB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3B5" w:rsidRPr="00BB33B5" w:rsidRDefault="00431D56" w:rsidP="00BB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3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667" w:rsidRDefault="000D5667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NAJEMCA :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WYNAJMUJĄCY : </w:t>
      </w: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4BD2" w:rsidRDefault="00D24BD2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4BD2" w:rsidRDefault="00D24BD2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4BD2" w:rsidRDefault="00D24BD2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Pr="00431D56" w:rsidRDefault="007367EF" w:rsidP="00431D5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</w:t>
      </w:r>
      <w:r w:rsidR="000D5667" w:rsidRPr="0043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431D56" w:rsidRDefault="00431D56" w:rsidP="00431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431D56" w:rsidP="00431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21B0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r ........................z dnia ...................................................</w:t>
      </w:r>
    </w:p>
    <w:p w:rsidR="00431D56" w:rsidRDefault="00431D56" w:rsidP="00431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431D5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Wykaz wyposażenia baru</w:t>
      </w:r>
      <w:r w:rsidR="00431D5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będącego własnością Wynajmującego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5923"/>
        <w:gridCol w:w="1207"/>
        <w:gridCol w:w="1465"/>
      </w:tblGrid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0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Szafa chłodniczo – </w:t>
            </w:r>
            <w:proofErr w:type="spellStart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mrożnicza</w:t>
            </w:r>
            <w:proofErr w:type="spellEnd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VESTFROST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Witryna chłodnicza do sałatek ORIZONT 100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Witryna chłodniczo – cukiernicza DORA METAL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Szafa Chłodnicza przeszklona POLAR W 352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Zmywarka do naczyń i szkła DIHR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Naparzacz</w:t>
            </w:r>
            <w:proofErr w:type="spellEnd"/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 kawy ANIMO M200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Kuchnia mikrofalowa HOBART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ze zlewem 1 – komorowym i spryskiwaczem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Szafka kuchenna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Zabudowa ściany baru półkami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barowy okrągły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metalowy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120/70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Krzesła barowe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Regał metalowy 100/40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Wieszak ścienny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Suszarka do rąk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Aparat telefoniczny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kuchenny 260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POSTFORMING 250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POSTFORMING 55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Pojemnik na papier toaletowy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Lustro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0D5667" w:rsidRPr="00E406CA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Półka pod blatem POSTFORMING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E406CA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C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</w:tbl>
    <w:p w:rsidR="000D5667" w:rsidRPr="00E406CA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06CA" w:rsidRPr="00E406CA" w:rsidRDefault="00E406CA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FD5" w:rsidRDefault="00E406CA" w:rsidP="0002324E">
      <w:pPr>
        <w:spacing w:after="0" w:line="240" w:lineRule="auto"/>
        <w:jc w:val="center"/>
      </w:pPr>
      <w:r w:rsidRPr="00E40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NAJEMCA :                                           WYNAJMUJĄCY : </w:t>
      </w:r>
    </w:p>
    <w:sectPr w:rsidR="00180F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83" w:rsidRDefault="005E1483" w:rsidP="000D5667">
      <w:pPr>
        <w:spacing w:after="0" w:line="240" w:lineRule="auto"/>
      </w:pPr>
      <w:r>
        <w:separator/>
      </w:r>
    </w:p>
  </w:endnote>
  <w:endnote w:type="continuationSeparator" w:id="0">
    <w:p w:rsidR="005E1483" w:rsidRDefault="005E1483" w:rsidP="000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181719"/>
      <w:docPartObj>
        <w:docPartGallery w:val="Page Numbers (Bottom of Page)"/>
        <w:docPartUnique/>
      </w:docPartObj>
    </w:sdtPr>
    <w:sdtEndPr/>
    <w:sdtContent>
      <w:p w:rsidR="007B4875" w:rsidRDefault="007B48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22">
          <w:rPr>
            <w:noProof/>
          </w:rPr>
          <w:t>5</w:t>
        </w:r>
        <w:r>
          <w:fldChar w:fldCharType="end"/>
        </w:r>
      </w:p>
    </w:sdtContent>
  </w:sdt>
  <w:p w:rsidR="007B4875" w:rsidRDefault="007B4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83" w:rsidRDefault="005E1483" w:rsidP="000D5667">
      <w:pPr>
        <w:spacing w:after="0" w:line="240" w:lineRule="auto"/>
      </w:pPr>
      <w:r>
        <w:separator/>
      </w:r>
    </w:p>
  </w:footnote>
  <w:footnote w:type="continuationSeparator" w:id="0">
    <w:p w:rsidR="005E1483" w:rsidRDefault="005E1483" w:rsidP="000D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270"/>
    <w:multiLevelType w:val="multilevel"/>
    <w:tmpl w:val="C2FCE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1483"/>
    <w:multiLevelType w:val="hybridMultilevel"/>
    <w:tmpl w:val="286E6B4E"/>
    <w:lvl w:ilvl="0" w:tplc="222A3052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D951E2"/>
    <w:multiLevelType w:val="multilevel"/>
    <w:tmpl w:val="472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40B9"/>
    <w:multiLevelType w:val="multilevel"/>
    <w:tmpl w:val="7172A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43745"/>
    <w:multiLevelType w:val="multilevel"/>
    <w:tmpl w:val="41B8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5197E"/>
    <w:multiLevelType w:val="hybridMultilevel"/>
    <w:tmpl w:val="7B665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D4678"/>
    <w:multiLevelType w:val="multilevel"/>
    <w:tmpl w:val="56A4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D1B82"/>
    <w:multiLevelType w:val="multilevel"/>
    <w:tmpl w:val="013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D6972"/>
    <w:multiLevelType w:val="hybridMultilevel"/>
    <w:tmpl w:val="B358E46C"/>
    <w:lvl w:ilvl="0" w:tplc="916C40F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3DDA"/>
    <w:multiLevelType w:val="multilevel"/>
    <w:tmpl w:val="4C3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604C0"/>
    <w:multiLevelType w:val="multilevel"/>
    <w:tmpl w:val="E0C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C001E"/>
    <w:multiLevelType w:val="multilevel"/>
    <w:tmpl w:val="358C8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56F2F"/>
    <w:multiLevelType w:val="multilevel"/>
    <w:tmpl w:val="9ED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F"/>
    <w:rsid w:val="00022126"/>
    <w:rsid w:val="0002324E"/>
    <w:rsid w:val="00032775"/>
    <w:rsid w:val="00055B53"/>
    <w:rsid w:val="000D5667"/>
    <w:rsid w:val="00180FD5"/>
    <w:rsid w:val="001F479A"/>
    <w:rsid w:val="00223863"/>
    <w:rsid w:val="002B445B"/>
    <w:rsid w:val="003429CE"/>
    <w:rsid w:val="0036163C"/>
    <w:rsid w:val="003F1F57"/>
    <w:rsid w:val="00431475"/>
    <w:rsid w:val="00431D56"/>
    <w:rsid w:val="0048532A"/>
    <w:rsid w:val="004E4334"/>
    <w:rsid w:val="004F6DC2"/>
    <w:rsid w:val="005A7AF4"/>
    <w:rsid w:val="005E1483"/>
    <w:rsid w:val="007367EF"/>
    <w:rsid w:val="0073793A"/>
    <w:rsid w:val="00766809"/>
    <w:rsid w:val="007B4875"/>
    <w:rsid w:val="007D5015"/>
    <w:rsid w:val="008A35BF"/>
    <w:rsid w:val="008F4E22"/>
    <w:rsid w:val="009110A2"/>
    <w:rsid w:val="00A52A98"/>
    <w:rsid w:val="00BA4BDB"/>
    <w:rsid w:val="00BB33B5"/>
    <w:rsid w:val="00BE1C98"/>
    <w:rsid w:val="00C21B02"/>
    <w:rsid w:val="00C647BA"/>
    <w:rsid w:val="00C85EA2"/>
    <w:rsid w:val="00D24BD2"/>
    <w:rsid w:val="00E406CA"/>
    <w:rsid w:val="00E43F54"/>
    <w:rsid w:val="00E7510C"/>
    <w:rsid w:val="00E91B20"/>
    <w:rsid w:val="00E93E6B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B822-F737-41B3-8DB9-EB91F473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16</cp:revision>
  <cp:lastPrinted>2015-09-28T09:41:00Z</cp:lastPrinted>
  <dcterms:created xsi:type="dcterms:W3CDTF">2014-07-30T08:13:00Z</dcterms:created>
  <dcterms:modified xsi:type="dcterms:W3CDTF">2015-09-28T09:46:00Z</dcterms:modified>
</cp:coreProperties>
</file>